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560" w:lineRule="exact"/>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区政数局：以业务大讲堂强化廉政教育，</w:t>
      </w:r>
    </w:p>
    <w:p>
      <w:pPr>
        <w:pStyle w:val="3"/>
        <w:spacing w:before="0" w:after="0" w:line="560" w:lineRule="exact"/>
        <w:jc w:val="center"/>
        <w:rPr>
          <w:rFonts w:hint="eastAsia" w:ascii="方正小标宋简体" w:hAnsi="方正小标宋简体" w:eastAsia="方正小标宋简体" w:cs="方正小标宋简体"/>
          <w:b w:val="0"/>
          <w:bCs/>
          <w:kern w:val="2"/>
          <w:sz w:val="44"/>
          <w:szCs w:val="44"/>
          <w:lang w:val="en-US" w:eastAsia="zh-CN" w:bidi="ar-SA"/>
        </w:rPr>
      </w:pPr>
      <w:r>
        <w:rPr>
          <w:rFonts w:hint="eastAsia" w:ascii="方正小标宋简体" w:hAnsi="方正小标宋简体" w:eastAsia="方正小标宋简体" w:cs="方正小标宋简体"/>
          <w:b w:val="0"/>
          <w:bCs/>
          <w:kern w:val="2"/>
          <w:sz w:val="44"/>
          <w:szCs w:val="44"/>
          <w:lang w:val="en-US" w:eastAsia="zh-CN" w:bidi="ar-SA"/>
        </w:rPr>
        <w:t>助力阳光交易建设</w:t>
      </w:r>
    </w:p>
    <w:p>
      <w:pPr>
        <w:ind w:firstLine="602" w:firstLineChars="200"/>
        <w:jc w:val="right"/>
        <w:rPr>
          <w:rFonts w:ascii="仿宋" w:hAnsi="仿宋" w:eastAsia="仿宋" w:cs="仿宋"/>
          <w:b/>
          <w:bCs/>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为进一步</w:t>
      </w:r>
      <w:r>
        <w:rPr>
          <w:rFonts w:hint="eastAsia" w:ascii="仿宋_GB2312" w:hAnsi="仿宋_GB2312" w:eastAsia="仿宋_GB2312" w:cs="仿宋_GB2312"/>
          <w:sz w:val="32"/>
          <w:szCs w:val="32"/>
          <w:lang w:val="en-US" w:eastAsia="zh-CN"/>
        </w:rPr>
        <w:t>强化公共资源</w:t>
      </w:r>
      <w:r>
        <w:rPr>
          <w:rFonts w:hint="eastAsia" w:ascii="仿宋_GB2312" w:hAnsi="仿宋_GB2312" w:eastAsia="仿宋_GB2312" w:cs="仿宋_GB2312"/>
          <w:sz w:val="32"/>
          <w:szCs w:val="32"/>
        </w:rPr>
        <w:t>交易领域廉政</w:t>
      </w:r>
      <w:r>
        <w:rPr>
          <w:rFonts w:hint="eastAsia" w:ascii="仿宋_GB2312" w:hAnsi="仿宋_GB2312" w:eastAsia="仿宋_GB2312" w:cs="仿宋_GB2312"/>
          <w:sz w:val="32"/>
          <w:szCs w:val="32"/>
          <w:lang w:val="en-US" w:eastAsia="zh-CN"/>
        </w:rPr>
        <w:t>风险防控，</w:t>
      </w:r>
      <w:r>
        <w:rPr>
          <w:rFonts w:hint="eastAsia" w:ascii="仿宋_GB2312" w:hAnsi="仿宋_GB2312" w:eastAsia="仿宋_GB2312" w:cs="仿宋_GB2312"/>
          <w:sz w:val="32"/>
          <w:szCs w:val="32"/>
        </w:rPr>
        <w:t>打造我区公开公平、优质高效的公共资源交易平台，今年以来，区政数局大力开展“公共资源交易业务大讲堂”活动，着力送法规送服务到部门、进</w:t>
      </w:r>
      <w:bookmarkStart w:id="0" w:name="_GoBack"/>
      <w:bookmarkEnd w:id="0"/>
      <w:r>
        <w:rPr>
          <w:rFonts w:hint="eastAsia" w:ascii="仿宋_GB2312" w:hAnsi="仿宋_GB2312" w:eastAsia="仿宋_GB2312" w:cs="仿宋_GB2312"/>
          <w:sz w:val="32"/>
          <w:szCs w:val="32"/>
        </w:rPr>
        <w:t>基层，</w:t>
      </w:r>
      <w:r>
        <w:rPr>
          <w:rFonts w:hint="eastAsia" w:ascii="仿宋_GB2312" w:hAnsi="仿宋_GB2312" w:eastAsia="仿宋_GB2312" w:cs="仿宋_GB2312"/>
          <w:sz w:val="32"/>
          <w:szCs w:val="32"/>
          <w:lang w:val="en-US" w:eastAsia="zh-CN"/>
        </w:rPr>
        <w:t>强化基层干部廉政风险意识，</w:t>
      </w:r>
      <w:r>
        <w:rPr>
          <w:rFonts w:hint="eastAsia" w:ascii="仿宋_GB2312" w:hAnsi="仿宋_GB2312" w:eastAsia="仿宋_GB2312" w:cs="仿宋_GB2312"/>
          <w:sz w:val="32"/>
          <w:szCs w:val="32"/>
        </w:rPr>
        <w:t>增强阳光交易共建力量，全力推进和护航市委“1+6+3”工作部署以及区委“一园三中心”建设。</w:t>
      </w:r>
    </w:p>
    <w:p>
      <w:pPr>
        <w:spacing w:line="560" w:lineRule="exact"/>
        <w:jc w:val="left"/>
        <w:rPr>
          <w:rFonts w:ascii="仿宋_GB2312" w:hAnsi="仿宋_GB2312" w:eastAsia="仿宋_GB2312" w:cs="仿宋_GB2312"/>
          <w:b/>
          <w:bCs/>
          <w:sz w:val="30"/>
          <w:szCs w:val="30"/>
          <w:shd w:val="clear" w:color="auto" w:fill="FFFFFF"/>
        </w:rPr>
      </w:pPr>
      <w:r>
        <w:rPr>
          <w:rFonts w:hint="eastAsia" w:ascii="仿宋" w:hAnsi="仿宋" w:eastAsia="仿宋" w:cs="仿宋"/>
          <w:sz w:val="30"/>
          <w:szCs w:val="30"/>
        </w:rPr>
        <w:drawing>
          <wp:anchor distT="0" distB="0" distL="114300" distR="114300" simplePos="0" relativeHeight="251659264" behindDoc="0" locked="0" layoutInCell="1" allowOverlap="1">
            <wp:simplePos x="0" y="0"/>
            <wp:positionH relativeFrom="column">
              <wp:posOffset>645160</wp:posOffset>
            </wp:positionH>
            <wp:positionV relativeFrom="paragraph">
              <wp:posOffset>33655</wp:posOffset>
            </wp:positionV>
            <wp:extent cx="3832860" cy="2875915"/>
            <wp:effectExtent l="0" t="0" r="15240" b="635"/>
            <wp:wrapNone/>
            <wp:docPr id="5" name="图片 5" descr="微信图片_20220311102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203111020502"/>
                    <pic:cNvPicPr>
                      <a:picLocks noChangeAspect="1"/>
                    </pic:cNvPicPr>
                  </pic:nvPicPr>
                  <pic:blipFill>
                    <a:blip r:embed="rId5" cstate="print"/>
                    <a:stretch>
                      <a:fillRect/>
                    </a:stretch>
                  </pic:blipFill>
                  <pic:spPr>
                    <a:xfrm>
                      <a:off x="0" y="0"/>
                      <a:ext cx="3832860" cy="2875915"/>
                    </a:xfrm>
                    <a:prstGeom prst="rect">
                      <a:avLst/>
                    </a:prstGeom>
                  </pic:spPr>
                </pic:pic>
              </a:graphicData>
            </a:graphic>
          </wp:anchor>
        </w:drawing>
      </w:r>
      <w:r>
        <w:rPr>
          <w:rFonts w:hint="eastAsia" w:ascii="仿宋_GB2312" w:hAnsi="仿宋_GB2312" w:eastAsia="仿宋_GB2312" w:cs="仿宋_GB2312"/>
          <w:b/>
          <w:bCs/>
          <w:sz w:val="30"/>
          <w:szCs w:val="30"/>
          <w:shd w:val="clear" w:color="auto" w:fill="FFFFFF"/>
        </w:rPr>
        <w:t xml:space="preserve"> </w:t>
      </w:r>
    </w:p>
    <w:p>
      <w:pPr>
        <w:spacing w:line="560" w:lineRule="exact"/>
        <w:jc w:val="center"/>
        <w:rPr>
          <w:rFonts w:ascii="仿宋" w:hAnsi="仿宋" w:eastAsia="仿宋" w:cs="仿宋"/>
          <w:sz w:val="30"/>
          <w:szCs w:val="30"/>
          <w:highlight w:val="yellow"/>
        </w:rPr>
      </w:pPr>
    </w:p>
    <w:p>
      <w:pPr>
        <w:spacing w:line="560" w:lineRule="exact"/>
        <w:jc w:val="center"/>
        <w:rPr>
          <w:rFonts w:ascii="仿宋" w:hAnsi="仿宋" w:eastAsia="仿宋" w:cs="仿宋"/>
          <w:sz w:val="30"/>
          <w:szCs w:val="30"/>
          <w:highlight w:val="yellow"/>
        </w:rPr>
      </w:pPr>
    </w:p>
    <w:p>
      <w:pPr>
        <w:spacing w:line="560" w:lineRule="exact"/>
        <w:jc w:val="center"/>
        <w:rPr>
          <w:rFonts w:ascii="仿宋" w:hAnsi="仿宋" w:eastAsia="仿宋" w:cs="仿宋"/>
          <w:sz w:val="30"/>
          <w:szCs w:val="30"/>
          <w:highlight w:val="yellow"/>
        </w:rPr>
      </w:pPr>
    </w:p>
    <w:p>
      <w:pPr>
        <w:spacing w:line="560" w:lineRule="exact"/>
        <w:jc w:val="center"/>
        <w:rPr>
          <w:rFonts w:ascii="仿宋" w:hAnsi="仿宋" w:eastAsia="仿宋" w:cs="仿宋"/>
          <w:sz w:val="30"/>
          <w:szCs w:val="30"/>
          <w:highlight w:val="yellow"/>
        </w:rPr>
      </w:pPr>
    </w:p>
    <w:p>
      <w:pPr>
        <w:spacing w:line="560" w:lineRule="exact"/>
        <w:jc w:val="center"/>
        <w:rPr>
          <w:rFonts w:ascii="仿宋" w:hAnsi="仿宋" w:eastAsia="仿宋" w:cs="仿宋"/>
          <w:sz w:val="30"/>
          <w:szCs w:val="30"/>
          <w:highlight w:val="yellow"/>
        </w:rPr>
      </w:pPr>
    </w:p>
    <w:p>
      <w:pPr>
        <w:spacing w:line="560" w:lineRule="exact"/>
        <w:rPr>
          <w:rFonts w:ascii="仿宋" w:hAnsi="仿宋" w:eastAsia="仿宋" w:cs="仿宋"/>
          <w:sz w:val="30"/>
          <w:szCs w:val="30"/>
        </w:rPr>
      </w:pPr>
    </w:p>
    <w:p>
      <w:pPr>
        <w:spacing w:line="560" w:lineRule="exact"/>
        <w:jc w:val="center"/>
        <w:rPr>
          <w:rFonts w:ascii="仿宋" w:hAnsi="仿宋" w:eastAsia="仿宋" w:cs="仿宋"/>
          <w:sz w:val="30"/>
          <w:szCs w:val="30"/>
        </w:rPr>
      </w:pPr>
    </w:p>
    <w:p>
      <w:pPr>
        <w:spacing w:line="560" w:lineRule="exact"/>
        <w:jc w:val="center"/>
        <w:rPr>
          <w:rFonts w:ascii="仿宋" w:hAnsi="仿宋" w:eastAsia="仿宋" w:cs="仿宋"/>
          <w:sz w:val="30"/>
          <w:szCs w:val="30"/>
        </w:rPr>
      </w:pPr>
      <w:r>
        <w:rPr>
          <w:rFonts w:hint="eastAsia" w:ascii="仿宋" w:hAnsi="仿宋" w:eastAsia="仿宋" w:cs="仿宋"/>
          <w:sz w:val="30"/>
          <w:szCs w:val="30"/>
        </w:rPr>
        <w:t>图为公共资源交易中心研究课件资料</w:t>
      </w:r>
    </w:p>
    <w:p>
      <w:pPr>
        <w:spacing w:line="560" w:lineRule="exact"/>
        <w:rPr>
          <w:rFonts w:ascii="仿宋" w:hAnsi="仿宋" w:eastAsia="仿宋" w:cs="仿宋"/>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区政数局因应镇、村两级换届后，不少部门单位反映公共资源交易领域业务新手较多、工作人员责任意识和廉政风险防范意识亟需加强等情况，组织属下单位江门市公共资源交易中心新会分中心（以下简称“新会交易中心”）业务骨干成立课题组，</w:t>
      </w:r>
      <w:r>
        <w:rPr>
          <w:rFonts w:hint="eastAsia" w:ascii="仿宋_GB2312" w:hAnsi="仿宋_GB2312" w:eastAsia="仿宋_GB2312" w:cs="仿宋_GB2312"/>
          <w:sz w:val="32"/>
          <w:szCs w:val="32"/>
          <w:lang w:val="en-US" w:eastAsia="zh-CN"/>
        </w:rPr>
        <w:t>结合本地区公共资源交易领域的违纪违法案例，</w:t>
      </w:r>
      <w:r>
        <w:rPr>
          <w:rFonts w:hint="eastAsia" w:ascii="仿宋_GB2312" w:hAnsi="仿宋_GB2312" w:eastAsia="仿宋_GB2312" w:cs="仿宋_GB2312"/>
          <w:sz w:val="32"/>
          <w:szCs w:val="32"/>
        </w:rPr>
        <w:t>认真分析学习需求，精心梳理讲课内容，用心制作课件，确保让授课对象学有所悟、学有所获，提升业务大讲堂实效。</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0"/>
          <w:szCs w:val="30"/>
          <w:shd w:val="clear" w:color="auto" w:fill="FFFFFF"/>
        </w:rPr>
        <w:drawing>
          <wp:anchor distT="0" distB="0" distL="114300" distR="114300" simplePos="0" relativeHeight="251661312" behindDoc="0" locked="0" layoutInCell="1" allowOverlap="1">
            <wp:simplePos x="0" y="0"/>
            <wp:positionH relativeFrom="column">
              <wp:posOffset>2522855</wp:posOffset>
            </wp:positionH>
            <wp:positionV relativeFrom="paragraph">
              <wp:posOffset>174625</wp:posOffset>
            </wp:positionV>
            <wp:extent cx="2883535" cy="1929130"/>
            <wp:effectExtent l="0" t="0" r="12065" b="13970"/>
            <wp:wrapNone/>
            <wp:docPr id="9" name="图片 9" descr="bde6663b51537e4d7db44ac496181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bde6663b51537e4d7db44ac496181c3"/>
                    <pic:cNvPicPr>
                      <a:picLocks noChangeAspect="1"/>
                    </pic:cNvPicPr>
                  </pic:nvPicPr>
                  <pic:blipFill>
                    <a:blip r:embed="rId6" cstate="print"/>
                    <a:stretch>
                      <a:fillRect/>
                    </a:stretch>
                  </pic:blipFill>
                  <pic:spPr>
                    <a:xfrm>
                      <a:off x="0" y="0"/>
                      <a:ext cx="2883535" cy="1929130"/>
                    </a:xfrm>
                    <a:prstGeom prst="rect">
                      <a:avLst/>
                    </a:prstGeom>
                  </pic:spPr>
                </pic:pic>
              </a:graphicData>
            </a:graphic>
          </wp:anchor>
        </w:drawing>
      </w:r>
      <w:r>
        <w:rPr>
          <w:rFonts w:hint="eastAsia" w:ascii="仿宋" w:hAnsi="仿宋" w:eastAsia="仿宋" w:cs="仿宋"/>
          <w:sz w:val="30"/>
          <w:szCs w:val="30"/>
        </w:rPr>
        <w:drawing>
          <wp:anchor distT="0" distB="0" distL="114300" distR="114300" simplePos="0" relativeHeight="251660288" behindDoc="0" locked="0" layoutInCell="1" allowOverlap="1">
            <wp:simplePos x="0" y="0"/>
            <wp:positionH relativeFrom="column">
              <wp:posOffset>-393700</wp:posOffset>
            </wp:positionH>
            <wp:positionV relativeFrom="paragraph">
              <wp:posOffset>182880</wp:posOffset>
            </wp:positionV>
            <wp:extent cx="2835275" cy="1920875"/>
            <wp:effectExtent l="0" t="0" r="3175" b="3175"/>
            <wp:wrapNone/>
            <wp:docPr id="10" name="图片 10" descr="微信图片_202203101516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203101516282"/>
                    <pic:cNvPicPr>
                      <a:picLocks noChangeAspect="1"/>
                    </pic:cNvPicPr>
                  </pic:nvPicPr>
                  <pic:blipFill>
                    <a:blip r:embed="rId7" cstate="print"/>
                    <a:srcRect l="253" t="8878" r="7729" b="13469"/>
                    <a:stretch>
                      <a:fillRect/>
                    </a:stretch>
                  </pic:blipFill>
                  <pic:spPr>
                    <a:xfrm>
                      <a:off x="0" y="0"/>
                      <a:ext cx="2835275" cy="1920875"/>
                    </a:xfrm>
                    <a:prstGeom prst="rect">
                      <a:avLst/>
                    </a:prstGeom>
                  </pic:spPr>
                </pic:pic>
              </a:graphicData>
            </a:graphic>
          </wp:anchor>
        </w:drawing>
      </w:r>
    </w:p>
    <w:p>
      <w:pPr>
        <w:spacing w:line="560" w:lineRule="exact"/>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 w:hAnsi="仿宋" w:eastAsia="仿宋" w:cs="仿宋"/>
          <w:sz w:val="30"/>
          <w:szCs w:val="30"/>
        </w:rPr>
      </w:pPr>
    </w:p>
    <w:p>
      <w:pPr>
        <w:spacing w:line="560" w:lineRule="exact"/>
        <w:rPr>
          <w:rFonts w:hint="eastAsia" w:ascii="仿宋" w:hAnsi="仿宋" w:eastAsia="仿宋" w:cs="仿宋"/>
          <w:sz w:val="30"/>
          <w:szCs w:val="30"/>
        </w:rPr>
      </w:pPr>
      <w:r>
        <w:rPr>
          <w:rFonts w:hint="eastAsia" w:ascii="仿宋" w:hAnsi="仿宋" w:eastAsia="仿宋" w:cs="仿宋"/>
          <w:sz w:val="30"/>
          <w:szCs w:val="30"/>
        </w:rPr>
        <w:t>图区政数局在沙堆镇举办首场“公共资源交易业务大讲堂”</w:t>
      </w:r>
    </w:p>
    <w:p>
      <w:pPr>
        <w:spacing w:line="560" w:lineRule="exact"/>
        <w:rPr>
          <w:rFonts w:hint="eastAsia" w:ascii="仿宋" w:hAnsi="仿宋" w:eastAsia="仿宋" w:cs="仿宋"/>
          <w:sz w:val="30"/>
          <w:szCs w:val="30"/>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3月10日，首场“公共资源交易业务大讲堂”在沙堆镇开讲，</w:t>
      </w:r>
      <w:r>
        <w:rPr>
          <w:rFonts w:hint="eastAsia" w:ascii="仿宋_GB2312" w:hAnsi="仿宋_GB2312" w:eastAsia="仿宋_GB2312" w:cs="仿宋_GB2312"/>
          <w:sz w:val="32"/>
          <w:szCs w:val="32"/>
          <w:shd w:val="clear" w:color="auto" w:fill="FFFFFF"/>
        </w:rPr>
        <w:t>沙堆</w:t>
      </w:r>
      <w:r>
        <w:rPr>
          <w:rFonts w:hint="eastAsia" w:ascii="仿宋_GB2312" w:hAnsi="仿宋_GB2312" w:eastAsia="仿宋_GB2312" w:cs="仿宋_GB2312"/>
          <w:sz w:val="32"/>
          <w:szCs w:val="32"/>
        </w:rPr>
        <w:t>镇有关领导、各部门负责人及各村（社区）书记40多人参加培训。区政数局联同新会交易中心建设工程交易部、政府采购部负责人重点讲解建设工程招投标及采购管理相关法律法规、工作流程、交易规则和网上中介服务超市等内容</w:t>
      </w:r>
      <w:r>
        <w:rPr>
          <w:rFonts w:hint="eastAsia" w:ascii="仿宋_GB2312" w:hAnsi="仿宋_GB2312" w:eastAsia="仿宋_GB2312" w:cs="仿宋_GB2312"/>
          <w:sz w:val="32"/>
          <w:szCs w:val="32"/>
          <w:shd w:val="clear" w:color="auto" w:fill="FFFFFF"/>
        </w:rPr>
        <w:t>，并引用实例对工程招投标和政府采购业务中</w:t>
      </w:r>
      <w:r>
        <w:rPr>
          <w:rFonts w:hint="eastAsia" w:ascii="仿宋_GB2312" w:hAnsi="仿宋_GB2312" w:eastAsia="仿宋_GB2312" w:cs="仿宋_GB2312"/>
          <w:sz w:val="32"/>
          <w:szCs w:val="32"/>
          <w:shd w:val="clear" w:color="auto" w:fill="FFFFFF"/>
          <w:lang w:val="en-US" w:eastAsia="zh-CN"/>
        </w:rPr>
        <w:t>容易疏忽的环节及</w:t>
      </w:r>
      <w:r>
        <w:rPr>
          <w:rFonts w:hint="eastAsia" w:ascii="仿宋_GB2312" w:hAnsi="仿宋_GB2312" w:eastAsia="仿宋_GB2312" w:cs="仿宋_GB2312"/>
          <w:sz w:val="32"/>
          <w:szCs w:val="32"/>
          <w:shd w:val="clear" w:color="auto" w:fill="FFFFFF"/>
        </w:rPr>
        <w:t>存在的廉政风险点进行着重提醒，</w:t>
      </w:r>
      <w:r>
        <w:rPr>
          <w:rFonts w:hint="eastAsia" w:ascii="仿宋_GB2312" w:hAnsi="仿宋_GB2312" w:eastAsia="仿宋_GB2312" w:cs="仿宋_GB2312"/>
          <w:sz w:val="32"/>
          <w:szCs w:val="32"/>
          <w:shd w:val="clear" w:color="auto" w:fill="FFFFFF"/>
          <w:lang w:val="en-US" w:eastAsia="zh-CN"/>
        </w:rPr>
        <w:t>切实</w:t>
      </w:r>
      <w:r>
        <w:rPr>
          <w:rFonts w:hint="eastAsia" w:ascii="仿宋_GB2312" w:hAnsi="仿宋_GB2312" w:eastAsia="仿宋_GB2312" w:cs="仿宋_GB2312"/>
          <w:sz w:val="32"/>
          <w:szCs w:val="32"/>
          <w:shd w:val="clear" w:color="auto" w:fill="FFFFFF"/>
        </w:rPr>
        <w:t>增强参训人员纪法意识和廉政风险防控意识。</w:t>
      </w:r>
      <w:r>
        <w:rPr>
          <w:rFonts w:hint="eastAsia" w:ascii="仿宋_GB2312" w:hAnsi="仿宋_GB2312" w:eastAsia="仿宋_GB2312" w:cs="仿宋_GB2312"/>
          <w:sz w:val="32"/>
          <w:szCs w:val="32"/>
        </w:rPr>
        <w:t>讲堂结束后，区政数局还认真听取沙堆镇有关人员的学习反馈，相互交流学习体会，营造浓厚的学习氛围。</w:t>
      </w:r>
    </w:p>
    <w:p>
      <w:pPr>
        <w:spacing w:line="560" w:lineRule="exact"/>
        <w:ind w:firstLine="640" w:firstLineChars="200"/>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接下来，区政数局</w:t>
      </w:r>
      <w:r>
        <w:rPr>
          <w:rFonts w:hint="eastAsia" w:ascii="仿宋_GB2312" w:hAnsi="仿宋_GB2312" w:eastAsia="仿宋_GB2312" w:cs="仿宋_GB2312"/>
          <w:sz w:val="32"/>
          <w:szCs w:val="32"/>
          <w:shd w:val="clear" w:color="auto" w:fill="FFFFFF"/>
        </w:rPr>
        <w:t>将加强与区纪委监委联动，多出实招硬招，</w:t>
      </w:r>
      <w:r>
        <w:rPr>
          <w:rFonts w:hint="eastAsia" w:ascii="仿宋_GB2312" w:hAnsi="仿宋_GB2312" w:eastAsia="仿宋_GB2312" w:cs="仿宋_GB2312"/>
          <w:sz w:val="32"/>
          <w:szCs w:val="32"/>
        </w:rPr>
        <w:t>加强公共资源交易领域规范化建设和廉政建设。</w:t>
      </w:r>
      <w:r>
        <w:rPr>
          <w:rFonts w:hint="eastAsia" w:ascii="仿宋_GB2312" w:hAnsi="仿宋_GB2312" w:eastAsia="仿宋_GB2312" w:cs="仿宋_GB2312"/>
          <w:sz w:val="32"/>
          <w:szCs w:val="32"/>
          <w:shd w:val="clear" w:color="auto" w:fill="FFFFFF"/>
        </w:rPr>
        <w:t>以“</w:t>
      </w:r>
      <w:r>
        <w:rPr>
          <w:rFonts w:hint="eastAsia" w:ascii="仿宋_GB2312" w:hAnsi="仿宋_GB2312" w:eastAsia="仿宋_GB2312" w:cs="仿宋_GB2312"/>
          <w:sz w:val="32"/>
          <w:szCs w:val="32"/>
        </w:rPr>
        <w:t>公共资源交易业务大讲堂</w:t>
      </w:r>
      <w:r>
        <w:rPr>
          <w:rFonts w:hint="eastAsia" w:ascii="仿宋_GB2312" w:hAnsi="仿宋_GB2312" w:eastAsia="仿宋_GB2312" w:cs="仿宋_GB2312"/>
          <w:sz w:val="32"/>
          <w:szCs w:val="32"/>
          <w:shd w:val="clear" w:color="auto" w:fill="FFFFFF"/>
        </w:rPr>
        <w:t>”为载体，组织</w:t>
      </w:r>
      <w:r>
        <w:rPr>
          <w:rFonts w:hint="eastAsia" w:ascii="仿宋_GB2312" w:hAnsi="仿宋_GB2312" w:eastAsia="仿宋_GB2312" w:cs="仿宋_GB2312"/>
          <w:sz w:val="32"/>
          <w:szCs w:val="32"/>
        </w:rPr>
        <w:t>人员继续</w:t>
      </w:r>
      <w:r>
        <w:rPr>
          <w:rFonts w:hint="eastAsia" w:ascii="仿宋_GB2312" w:hAnsi="仿宋_GB2312" w:eastAsia="仿宋_GB2312" w:cs="仿宋_GB2312"/>
          <w:sz w:val="32"/>
          <w:szCs w:val="32"/>
          <w:shd w:val="clear" w:color="auto" w:fill="FFFFFF"/>
        </w:rPr>
        <w:t>送法进基层、送服务上门，促进平台单位与业主单位、监督部门、社会代理等公共资源交易各方主体共建共学，</w:t>
      </w:r>
      <w:r>
        <w:rPr>
          <w:rFonts w:hint="eastAsia" w:ascii="仿宋_GB2312" w:hAnsi="仿宋_GB2312" w:eastAsia="仿宋_GB2312" w:cs="仿宋_GB2312"/>
          <w:sz w:val="32"/>
          <w:szCs w:val="32"/>
          <w:shd w:val="clear" w:color="auto" w:fill="FFFFFF"/>
          <w:lang w:val="en-US" w:eastAsia="zh-CN"/>
        </w:rPr>
        <w:t>提高基层干部拒腐防变和抵御风险的能力，</w:t>
      </w:r>
      <w:r>
        <w:rPr>
          <w:rFonts w:hint="eastAsia" w:ascii="仿宋_GB2312" w:hAnsi="仿宋_GB2312" w:eastAsia="仿宋_GB2312" w:cs="仿宋_GB2312"/>
          <w:sz w:val="32"/>
          <w:szCs w:val="32"/>
          <w:shd w:val="clear" w:color="auto" w:fill="FFFFFF"/>
        </w:rPr>
        <w:t>推动</w:t>
      </w:r>
      <w:r>
        <w:rPr>
          <w:rFonts w:hint="eastAsia" w:ascii="仿宋_GB2312" w:hAnsi="仿宋_GB2312" w:eastAsia="仿宋_GB2312" w:cs="仿宋_GB2312"/>
          <w:sz w:val="32"/>
          <w:szCs w:val="32"/>
          <w:lang w:val="en-US" w:eastAsia="zh-CN"/>
        </w:rPr>
        <w:t>公共资源交易</w:t>
      </w:r>
      <w:r>
        <w:rPr>
          <w:rFonts w:hint="eastAsia" w:ascii="仿宋_GB2312" w:hAnsi="仿宋_GB2312" w:eastAsia="仿宋_GB2312" w:cs="仿宋_GB2312"/>
          <w:sz w:val="32"/>
          <w:szCs w:val="32"/>
        </w:rPr>
        <w:t>更加规范</w:t>
      </w:r>
      <w:r>
        <w:rPr>
          <w:rFonts w:hint="eastAsia" w:ascii="仿宋_GB2312" w:hAnsi="仿宋_GB2312" w:eastAsia="仿宋_GB2312" w:cs="仿宋_GB2312"/>
          <w:sz w:val="32"/>
          <w:szCs w:val="32"/>
          <w:shd w:val="clear" w:color="auto" w:fill="FFFFFF"/>
        </w:rPr>
        <w:t>。</w:t>
      </w:r>
    </w:p>
    <w:sectPr>
      <w:footerReference r:id="rId3" w:type="default"/>
      <w:pgSz w:w="11906" w:h="16838"/>
      <w:pgMar w:top="1134" w:right="1797" w:bottom="1134"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ACD19E0"/>
    <w:rsid w:val="0002321A"/>
    <w:rsid w:val="00034836"/>
    <w:rsid w:val="0009389E"/>
    <w:rsid w:val="0009561E"/>
    <w:rsid w:val="000C6A01"/>
    <w:rsid w:val="001132B7"/>
    <w:rsid w:val="001A5F6B"/>
    <w:rsid w:val="001B2FFD"/>
    <w:rsid w:val="002202F7"/>
    <w:rsid w:val="00295EB2"/>
    <w:rsid w:val="002F7AD3"/>
    <w:rsid w:val="00412232"/>
    <w:rsid w:val="004F27AC"/>
    <w:rsid w:val="00530E8B"/>
    <w:rsid w:val="005743E2"/>
    <w:rsid w:val="005C74D7"/>
    <w:rsid w:val="006231A6"/>
    <w:rsid w:val="006369A3"/>
    <w:rsid w:val="006A01FE"/>
    <w:rsid w:val="006E6E36"/>
    <w:rsid w:val="00700213"/>
    <w:rsid w:val="007050EB"/>
    <w:rsid w:val="00716EBF"/>
    <w:rsid w:val="00750D30"/>
    <w:rsid w:val="007878DD"/>
    <w:rsid w:val="007B35DA"/>
    <w:rsid w:val="007C76AA"/>
    <w:rsid w:val="007F7E5A"/>
    <w:rsid w:val="00881155"/>
    <w:rsid w:val="00887B89"/>
    <w:rsid w:val="008B7E5F"/>
    <w:rsid w:val="00905313"/>
    <w:rsid w:val="00940F51"/>
    <w:rsid w:val="00983F24"/>
    <w:rsid w:val="009C6A79"/>
    <w:rsid w:val="00A44911"/>
    <w:rsid w:val="00B05003"/>
    <w:rsid w:val="00BC3322"/>
    <w:rsid w:val="00D31691"/>
    <w:rsid w:val="00D502DD"/>
    <w:rsid w:val="00D84218"/>
    <w:rsid w:val="00DC2AA6"/>
    <w:rsid w:val="00E00DAE"/>
    <w:rsid w:val="00E800A9"/>
    <w:rsid w:val="00E90B0F"/>
    <w:rsid w:val="00EF0812"/>
    <w:rsid w:val="00F06BE6"/>
    <w:rsid w:val="016D5521"/>
    <w:rsid w:val="03075FE9"/>
    <w:rsid w:val="05453FE3"/>
    <w:rsid w:val="08801485"/>
    <w:rsid w:val="091757C8"/>
    <w:rsid w:val="0A0D1BF2"/>
    <w:rsid w:val="0A9F7C9A"/>
    <w:rsid w:val="0ACD19E0"/>
    <w:rsid w:val="0B365A94"/>
    <w:rsid w:val="0C197F77"/>
    <w:rsid w:val="0C9E54FB"/>
    <w:rsid w:val="0CC31C91"/>
    <w:rsid w:val="0D240982"/>
    <w:rsid w:val="0D890706"/>
    <w:rsid w:val="0E712036"/>
    <w:rsid w:val="0EAC7D1C"/>
    <w:rsid w:val="13433E3E"/>
    <w:rsid w:val="14A01236"/>
    <w:rsid w:val="162F5750"/>
    <w:rsid w:val="18B2778A"/>
    <w:rsid w:val="1ABE0FB8"/>
    <w:rsid w:val="1B256925"/>
    <w:rsid w:val="1D44297A"/>
    <w:rsid w:val="1EE012DF"/>
    <w:rsid w:val="209F7BDB"/>
    <w:rsid w:val="20EC75B1"/>
    <w:rsid w:val="21933ED0"/>
    <w:rsid w:val="2382454F"/>
    <w:rsid w:val="239D2DE4"/>
    <w:rsid w:val="24DB32D3"/>
    <w:rsid w:val="25E1520A"/>
    <w:rsid w:val="271041CA"/>
    <w:rsid w:val="294E55B5"/>
    <w:rsid w:val="2A3224D8"/>
    <w:rsid w:val="2B107589"/>
    <w:rsid w:val="2C6538D4"/>
    <w:rsid w:val="2DE27A5F"/>
    <w:rsid w:val="2EB97E87"/>
    <w:rsid w:val="2F5E5B1E"/>
    <w:rsid w:val="33095DA0"/>
    <w:rsid w:val="3328091C"/>
    <w:rsid w:val="33381FDF"/>
    <w:rsid w:val="3381627F"/>
    <w:rsid w:val="346E288F"/>
    <w:rsid w:val="3498562E"/>
    <w:rsid w:val="34EF2A7C"/>
    <w:rsid w:val="36DB7A54"/>
    <w:rsid w:val="37453A72"/>
    <w:rsid w:val="37B95FE7"/>
    <w:rsid w:val="390642E7"/>
    <w:rsid w:val="3AD37960"/>
    <w:rsid w:val="3B4447C2"/>
    <w:rsid w:val="3C8B0952"/>
    <w:rsid w:val="3D13022E"/>
    <w:rsid w:val="3D7B5AED"/>
    <w:rsid w:val="3ECA0ADA"/>
    <w:rsid w:val="3FC76DC7"/>
    <w:rsid w:val="417D62D7"/>
    <w:rsid w:val="417F6DCD"/>
    <w:rsid w:val="445373B8"/>
    <w:rsid w:val="45034D69"/>
    <w:rsid w:val="492C052C"/>
    <w:rsid w:val="499D2E36"/>
    <w:rsid w:val="4B3E7F14"/>
    <w:rsid w:val="4B4D5A72"/>
    <w:rsid w:val="4B575A3A"/>
    <w:rsid w:val="4BA45DBB"/>
    <w:rsid w:val="4D1C15D6"/>
    <w:rsid w:val="4E6A1991"/>
    <w:rsid w:val="4E7468C5"/>
    <w:rsid w:val="4E922C96"/>
    <w:rsid w:val="4FED287A"/>
    <w:rsid w:val="50DF414D"/>
    <w:rsid w:val="52666914"/>
    <w:rsid w:val="52B92EE7"/>
    <w:rsid w:val="5335056B"/>
    <w:rsid w:val="538D4902"/>
    <w:rsid w:val="54BA0063"/>
    <w:rsid w:val="57340611"/>
    <w:rsid w:val="58814CB4"/>
    <w:rsid w:val="59382B12"/>
    <w:rsid w:val="59B32B9E"/>
    <w:rsid w:val="5A13112F"/>
    <w:rsid w:val="5A223D07"/>
    <w:rsid w:val="5BB26F60"/>
    <w:rsid w:val="5EFB2597"/>
    <w:rsid w:val="5FA05269"/>
    <w:rsid w:val="60082FEB"/>
    <w:rsid w:val="60FA4DF7"/>
    <w:rsid w:val="632329D3"/>
    <w:rsid w:val="654773CF"/>
    <w:rsid w:val="65AF446B"/>
    <w:rsid w:val="67704ED2"/>
    <w:rsid w:val="681443BD"/>
    <w:rsid w:val="690A12C5"/>
    <w:rsid w:val="69160588"/>
    <w:rsid w:val="6F08452F"/>
    <w:rsid w:val="6F92269E"/>
    <w:rsid w:val="727D3A12"/>
    <w:rsid w:val="74985924"/>
    <w:rsid w:val="76116A13"/>
    <w:rsid w:val="76C64A5E"/>
    <w:rsid w:val="791D747D"/>
    <w:rsid w:val="7A232871"/>
    <w:rsid w:val="7FE42A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0"/>
    <w:rPr>
      <w:rFonts w:asciiTheme="minorHAnsi" w:hAnsiTheme="minorHAnsi" w:eastAsiaTheme="minorEastAsia" w:cstheme="minorBidi"/>
      <w:kern w:val="2"/>
      <w:sz w:val="18"/>
      <w:szCs w:val="18"/>
    </w:rPr>
  </w:style>
  <w:style w:type="character" w:customStyle="1" w:styleId="10">
    <w:name w:val="页脚 Char"/>
    <w:basedOn w:val="8"/>
    <w:link w:val="5"/>
    <w:qFormat/>
    <w:uiPriority w:val="0"/>
    <w:rPr>
      <w:rFonts w:asciiTheme="minorHAnsi" w:hAnsiTheme="minorHAnsi" w:eastAsiaTheme="minorEastAsia" w:cstheme="minorBidi"/>
      <w:kern w:val="2"/>
      <w:sz w:val="18"/>
      <w:szCs w:val="18"/>
    </w:rPr>
  </w:style>
  <w:style w:type="character" w:customStyle="1" w:styleId="11">
    <w:name w:val="批注框文本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124</Words>
  <Characters>707</Characters>
  <Lines>5</Lines>
  <Paragraphs>1</Paragraphs>
  <TotalTime>6</TotalTime>
  <ScaleCrop>false</ScaleCrop>
  <LinksUpToDate>false</LinksUpToDate>
  <CharactersWithSpaces>830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2022-03-11T05:17:00Z</dcterms:created>
  <dc:creator>Administrator</dc:creator>
  <cp:lastModifiedBy>admin</cp:lastModifiedBy>
  <cp:lastPrinted>2022-03-15T10:57:33Z</cp:lastPrinted>
  <dcterms:modified xsi:type="dcterms:W3CDTF">2022-03-15T11:00:22Z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7EC932DFE062474FB032827276C7ECC8</vt:lpwstr>
  </property>
</Properties>
</file>